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一般競争入札参加資格審査申請書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令和　　年　　月　　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網走市長　水谷　洋一　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40" w:firstLine="1824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　　　　　　　　　　　　  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所在地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4332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商号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または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名称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2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                                         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代表者　　　　　　　　　　　　　  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㊞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　　　　　　　　　　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0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8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6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4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日付けで入札公告のありました次の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業務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に係る競争入札参加資格について、審査されたく、関係書類を添えて申請します。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0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なお、入札参加資格の要件すべてを満たしていること、並びに本申請書及び添付書類のすべての記載事項は、事実と相違ないことを誓約します。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１．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業務名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RPAソフトウェアライセンス購入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２．提出書類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08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（１）入札参加申込兼資格確認申請書（本紙）　　　　　　　　　　　　　　　　　　　１部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（２）誓約書　　　　　　　　　　　　　　　　　　　　　　　　　　　　　　　　　　１部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３．連絡先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（１）担当者氏名　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（２）電話番号　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（３）メールアドレス　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62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※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「㊞」は、法人にあっては代表取締役の印、個人にあっては代表者の印を押すこと。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3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